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山西阳煤集团南岭煤业有限公司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2021年一季度（1-3月份）财务重大信息</w:t>
      </w:r>
    </w:p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一、企业基本情况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山西阳煤集团南岭煤业有限公司是阳泉煤业（集团）有限责任公司按照省政府“晋政发[2008]23号”煤矿企业兼并重组整合相关政策，对原清徐桑树洼煤矿有限公司进行兼并重组整合而成立的有限公司。2009年8月7日阳煤集团与原矿主正式签署合作协议，并完成交易。公司注册资本共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  <w:t>11333.43万元</w:t>
      </w:r>
      <w:r>
        <w:rPr>
          <w:rFonts w:hint="eastAsia" w:ascii="仿宋_GB2312" w:eastAsia="仿宋_GB2312"/>
          <w:sz w:val="32"/>
          <w:szCs w:val="32"/>
        </w:rPr>
        <w:t>，其中:阳煤集团天誉矿业投资有限责任公司股份占51%，出资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  <w:t>5780.05万元</w:t>
      </w:r>
      <w:r>
        <w:rPr>
          <w:rFonts w:hint="eastAsia" w:ascii="仿宋_GB2312" w:eastAsia="仿宋_GB2312"/>
          <w:sz w:val="32"/>
          <w:szCs w:val="32"/>
        </w:rPr>
        <w:t>,自然人任维俊股份占37%，出资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  <w:t>4193.37万元</w:t>
      </w:r>
      <w:r>
        <w:rPr>
          <w:rFonts w:hint="eastAsia" w:ascii="仿宋_GB2312" w:eastAsia="仿宋_GB2312"/>
          <w:sz w:val="32"/>
          <w:szCs w:val="32"/>
        </w:rPr>
        <w:t>，自然人武春信股份占12%，出资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  <w:t>1360.01万元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。公司住所：山西省太原市清徐县东于镇南岭村，法人代表：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陈海俊</w:t>
      </w:r>
      <w:r>
        <w:rPr>
          <w:rFonts w:hint="eastAsia" w:ascii="仿宋_GB2312" w:eastAsia="仿宋_GB2312"/>
          <w:sz w:val="32"/>
          <w:szCs w:val="32"/>
        </w:rPr>
        <w:t>，统一社会信用代码：91140000051976636U。经营范围：煤炭开采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煤炭开采；煤炭、煤制品销售；煤炭洗选；矸石处理；造地复垦及矿山生态环境治理</w:t>
      </w:r>
      <w:r>
        <w:rPr>
          <w:rFonts w:hint="eastAsia" w:ascii="仿宋_GB2312" w:eastAsia="仿宋_GB2312"/>
          <w:sz w:val="32"/>
          <w:szCs w:val="32"/>
        </w:rPr>
        <w:t>。控制主体为阳煤集团天誉矿业投资有限公司。</w:t>
      </w:r>
    </w:p>
    <w:p>
      <w:pPr>
        <w:spacing w:line="56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二、主要会计数据和财务指标</w:t>
      </w:r>
    </w:p>
    <w:p>
      <w:pPr>
        <w:spacing w:line="560" w:lineRule="exact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财务状况基本数据</w:t>
      </w:r>
    </w:p>
    <w:p>
      <w:pPr>
        <w:spacing w:line="560" w:lineRule="exact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单位：万元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6"/>
        <w:gridCol w:w="2083"/>
        <w:gridCol w:w="2003"/>
        <w:gridCol w:w="20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33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项目</w:t>
            </w:r>
          </w:p>
        </w:tc>
        <w:tc>
          <w:tcPr>
            <w:tcW w:w="2116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期末余额</w:t>
            </w:r>
          </w:p>
        </w:tc>
        <w:tc>
          <w:tcPr>
            <w:tcW w:w="2117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项目</w:t>
            </w:r>
          </w:p>
        </w:tc>
        <w:tc>
          <w:tcPr>
            <w:tcW w:w="2117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期末余额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33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资产总额</w:t>
            </w:r>
          </w:p>
        </w:tc>
        <w:tc>
          <w:tcPr>
            <w:tcW w:w="2116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167991.97</w:t>
            </w:r>
          </w:p>
        </w:tc>
        <w:tc>
          <w:tcPr>
            <w:tcW w:w="2117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负债总额</w:t>
            </w:r>
          </w:p>
        </w:tc>
        <w:tc>
          <w:tcPr>
            <w:tcW w:w="2117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215451.86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33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所有者权益</w:t>
            </w:r>
          </w:p>
        </w:tc>
        <w:tc>
          <w:tcPr>
            <w:tcW w:w="2116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-47459.89</w:t>
            </w:r>
          </w:p>
        </w:tc>
        <w:tc>
          <w:tcPr>
            <w:tcW w:w="2117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存货</w:t>
            </w:r>
          </w:p>
        </w:tc>
        <w:tc>
          <w:tcPr>
            <w:tcW w:w="2117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924.88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33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应收账款</w:t>
            </w:r>
          </w:p>
        </w:tc>
        <w:tc>
          <w:tcPr>
            <w:tcW w:w="2116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1895.17</w:t>
            </w:r>
          </w:p>
        </w:tc>
        <w:tc>
          <w:tcPr>
            <w:tcW w:w="2117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应付账款</w:t>
            </w:r>
          </w:p>
        </w:tc>
        <w:tc>
          <w:tcPr>
            <w:tcW w:w="2117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35976.93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33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固定资产净额</w:t>
            </w:r>
          </w:p>
        </w:tc>
        <w:tc>
          <w:tcPr>
            <w:tcW w:w="2116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38350.97</w:t>
            </w:r>
          </w:p>
        </w:tc>
        <w:tc>
          <w:tcPr>
            <w:tcW w:w="2117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应交税费</w:t>
            </w:r>
          </w:p>
        </w:tc>
        <w:tc>
          <w:tcPr>
            <w:tcW w:w="2117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358.26</w:t>
            </w:r>
          </w:p>
        </w:tc>
      </w:tr>
    </w:tbl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经营成果基本数据</w:t>
      </w:r>
    </w:p>
    <w:p>
      <w:pPr>
        <w:spacing w:line="560" w:lineRule="exact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单位：万元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1"/>
        <w:gridCol w:w="2041"/>
        <w:gridCol w:w="2042"/>
        <w:gridCol w:w="20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1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项目</w:t>
            </w:r>
          </w:p>
        </w:tc>
        <w:tc>
          <w:tcPr>
            <w:tcW w:w="2041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期末余额</w:t>
            </w:r>
          </w:p>
        </w:tc>
        <w:tc>
          <w:tcPr>
            <w:tcW w:w="2042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项目</w:t>
            </w:r>
          </w:p>
        </w:tc>
        <w:tc>
          <w:tcPr>
            <w:tcW w:w="2042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期末余额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1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营业收入</w:t>
            </w:r>
          </w:p>
        </w:tc>
        <w:tc>
          <w:tcPr>
            <w:tcW w:w="2041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10029.09</w:t>
            </w:r>
          </w:p>
        </w:tc>
        <w:tc>
          <w:tcPr>
            <w:tcW w:w="2042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销售费用</w:t>
            </w:r>
          </w:p>
        </w:tc>
        <w:tc>
          <w:tcPr>
            <w:tcW w:w="2042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1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管理费用</w:t>
            </w:r>
          </w:p>
        </w:tc>
        <w:tc>
          <w:tcPr>
            <w:tcW w:w="2041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193.51</w:t>
            </w:r>
          </w:p>
        </w:tc>
        <w:tc>
          <w:tcPr>
            <w:tcW w:w="2042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财务费用</w:t>
            </w:r>
          </w:p>
        </w:tc>
        <w:tc>
          <w:tcPr>
            <w:tcW w:w="2042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2438.69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1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利润总额</w:t>
            </w:r>
          </w:p>
        </w:tc>
        <w:tc>
          <w:tcPr>
            <w:tcW w:w="2041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1.68</w:t>
            </w:r>
          </w:p>
        </w:tc>
        <w:tc>
          <w:tcPr>
            <w:tcW w:w="2042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净利润</w:t>
            </w:r>
          </w:p>
        </w:tc>
        <w:tc>
          <w:tcPr>
            <w:tcW w:w="2042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1.68</w:t>
            </w:r>
          </w:p>
        </w:tc>
      </w:tr>
    </w:tbl>
    <w:p>
      <w:pPr>
        <w:spacing w:line="56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三、预算执行情况：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山西阳煤集团南岭煤业有限公司2021年全年预算收入34163万元，利润总额0万元。2021年1—3月实现营业收入10029.09万元，完成全年预算的29.36%；实现利润1.68万元，未发生利润亏损。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spacing w:line="560" w:lineRule="exact"/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</w:p>
    <w:sectPr>
      <w:pgSz w:w="11850" w:h="16783"/>
      <w:pgMar w:top="1440" w:right="1800" w:bottom="1440" w:left="1800" w:header="1924" w:footer="1621" w:gutter="0"/>
      <w:cols w:space="0" w:num="1"/>
      <w:docGrid w:type="lines" w:linePitch="30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variable"/>
    <w:sig w:usb0="80000287" w:usb1="2ACF3C50" w:usb2="00000016" w:usb3="00000000" w:csb0="0004001F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微软雅黑">
    <w:panose1 w:val="020B0503020204020204"/>
    <w:charset w:val="86"/>
    <w:family w:val="auto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200101FF" w:csb1="20280000"/>
  </w:font>
  <w:font w:name="@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rsids>
    <w:rsidRoot w:val="6F041EC0"/>
    <w:rsid w:val="000A68C9"/>
    <w:rsid w:val="000E22B4"/>
    <w:rsid w:val="001F6EA1"/>
    <w:rsid w:val="005B34EF"/>
    <w:rsid w:val="0083746E"/>
    <w:rsid w:val="008A6CAE"/>
    <w:rsid w:val="0097169F"/>
    <w:rsid w:val="00BD7BC1"/>
    <w:rsid w:val="016320D9"/>
    <w:rsid w:val="0C367242"/>
    <w:rsid w:val="100B0B70"/>
    <w:rsid w:val="12FE156B"/>
    <w:rsid w:val="1ED654EE"/>
    <w:rsid w:val="227C7196"/>
    <w:rsid w:val="26414D56"/>
    <w:rsid w:val="28862FAF"/>
    <w:rsid w:val="29414BE5"/>
    <w:rsid w:val="2A637EA4"/>
    <w:rsid w:val="2EFF6764"/>
    <w:rsid w:val="2F26736B"/>
    <w:rsid w:val="35A2672B"/>
    <w:rsid w:val="39F7070C"/>
    <w:rsid w:val="3F4D1A7B"/>
    <w:rsid w:val="42AA54C6"/>
    <w:rsid w:val="43AB48AD"/>
    <w:rsid w:val="46B57E27"/>
    <w:rsid w:val="4E1D20FF"/>
    <w:rsid w:val="4F8E53F2"/>
    <w:rsid w:val="50A153DF"/>
    <w:rsid w:val="52E7446A"/>
    <w:rsid w:val="57D70A4D"/>
    <w:rsid w:val="59080CD2"/>
    <w:rsid w:val="5B6548BC"/>
    <w:rsid w:val="64CC6F02"/>
    <w:rsid w:val="6D7555C3"/>
    <w:rsid w:val="6F041EC0"/>
    <w:rsid w:val="73DC6C46"/>
    <w:rsid w:val="7AEE6A38"/>
    <w:rsid w:val="7C684D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附注二级正文"/>
    <w:basedOn w:val="1"/>
    <w:qFormat/>
    <w:uiPriority w:val="0"/>
    <w:pPr>
      <w:widowControl/>
      <w:adjustRightInd w:val="0"/>
      <w:snapToGrid w:val="0"/>
      <w:spacing w:line="400" w:lineRule="atLeast"/>
      <w:ind w:left="718" w:leftChars="342"/>
      <w:jc w:val="left"/>
    </w:pPr>
    <w:rPr>
      <w:rFonts w:ascii="宋体" w:hAnsi="宋体" w:eastAsia="宋体" w:cs="Times New Roman"/>
      <w:szCs w:val="21"/>
    </w:rPr>
  </w:style>
  <w:style w:type="character" w:customStyle="1" w:styleId="8">
    <w:name w:val="页眉 Char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516</Words>
  <Characters>211</Characters>
  <Lines>1</Lines>
  <Paragraphs>1</Paragraphs>
  <TotalTime>92</TotalTime>
  <ScaleCrop>false</ScaleCrop>
  <LinksUpToDate>false</LinksUpToDate>
  <CharactersWithSpaces>726</CharactersWithSpaces>
  <Application>WPS Office_11.1.0.9192_F1E327BC-269C-435d-A152-05C5408002CA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2022-01-27T01:32:00Z</dcterms:created>
  <dc:creator>穆凯</dc:creator>
  <cp:lastModifiedBy>田永春</cp:lastModifiedBy>
  <cp:lastPrinted>2022-01-27T08:24:00Z</cp:lastPrinted>
  <dcterms:modified xsi:type="dcterms:W3CDTF">2022-02-15T00:52:14Z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  <property fmtid="{D5CDD505-2E9C-101B-9397-08002B2CF9AE}" pid="3" name="ICV">
    <vt:lpwstr>92CB28CC6D28442EBBE0B87D127DE3CA</vt:lpwstr>
  </property>
</Properties>
</file>