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/>
          <w:b/>
          <w:bCs w:val="0"/>
          <w:sz w:val="36"/>
          <w:szCs w:val="36"/>
          <w:lang w:val="en-US" w:eastAsia="zh-CN"/>
        </w:rPr>
      </w:pPr>
      <w:r>
        <w:rPr>
          <w:rFonts w:hint="eastAsia"/>
          <w:b/>
          <w:bCs w:val="0"/>
          <w:sz w:val="36"/>
          <w:szCs w:val="36"/>
          <w:lang w:val="en-US" w:eastAsia="zh-CN"/>
        </w:rPr>
        <w:t>西山煤电太原保障性住房建设有限公司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default"/>
          <w:b/>
          <w:bCs w:val="0"/>
          <w:sz w:val="36"/>
          <w:szCs w:val="36"/>
          <w:lang w:val="en-US" w:eastAsia="zh-CN"/>
        </w:rPr>
      </w:pPr>
      <w:r>
        <w:rPr>
          <w:rFonts w:hint="eastAsia"/>
          <w:b/>
          <w:bCs w:val="0"/>
          <w:sz w:val="36"/>
          <w:szCs w:val="36"/>
          <w:lang w:val="en-US" w:eastAsia="zh-CN"/>
        </w:rPr>
        <w:t>2021年度（1-12月份）财务重大信息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3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一、企业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基本情况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西山煤电太原保障性住房建设有限公司（以下简称“公司”或“本公司”）成立于2012年9月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29日</w:t>
      </w:r>
      <w:r>
        <w:rPr>
          <w:rFonts w:hint="eastAsia" w:ascii="仿宋_GB2312" w:hAnsi="仿宋_GB2312" w:eastAsia="仿宋_GB2312" w:cs="仿宋_GB2312"/>
          <w:sz w:val="32"/>
          <w:szCs w:val="32"/>
        </w:rPr>
        <w:t>，企业性质为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其他</w:t>
      </w:r>
      <w:r>
        <w:rPr>
          <w:rFonts w:hint="eastAsia" w:ascii="仿宋_GB2312" w:hAnsi="仿宋_GB2312" w:eastAsia="仿宋_GB2312" w:cs="仿宋_GB2312"/>
          <w:sz w:val="32"/>
          <w:szCs w:val="32"/>
        </w:rPr>
        <w:t>有限责任公司，注册资本为10亿元，注册地址：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太原市</w:t>
      </w:r>
      <w:r>
        <w:rPr>
          <w:rFonts w:hint="eastAsia" w:ascii="仿宋_GB2312" w:hAnsi="仿宋_GB2312" w:eastAsia="仿宋_GB2312" w:cs="仿宋_GB2312"/>
          <w:sz w:val="32"/>
          <w:szCs w:val="32"/>
        </w:rPr>
        <w:t>万柏林区西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机</w:t>
      </w:r>
      <w:r>
        <w:rPr>
          <w:rFonts w:hint="eastAsia" w:ascii="仿宋_GB2312" w:hAnsi="仿宋_GB2312" w:eastAsia="仿宋_GB2312" w:cs="仿宋_GB2312"/>
          <w:sz w:val="32"/>
          <w:szCs w:val="32"/>
        </w:rPr>
        <w:t>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68</w:t>
      </w:r>
      <w:r>
        <w:rPr>
          <w:rFonts w:hint="eastAsia" w:ascii="仿宋_GB2312" w:hAnsi="仿宋_GB2312" w:eastAsia="仿宋_GB2312" w:cs="仿宋_GB2312"/>
          <w:sz w:val="32"/>
          <w:szCs w:val="32"/>
        </w:rPr>
        <w:t>号，属于西山煤电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集团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有限责任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的控股子公司。具体股东及投资比例构成如下：西山煤电（集团）有限责任公司，以现金方式出资51000万元，占注册资本的51%，其中首期出资25500万元，于2012年8月30日前到位，第二期出资25500万元，于2013年9月30日前到位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山西焦煤能源集团股份有限公司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，以现金方式出资49000万元，占注册资本的49%，其中首期出资24500万元，于2012年8月30日前到位，第二期出资24500万元，于2013年10月30日前到位，目前，二期注册资本已全部到位。公司经营范围：保障性住房项目投资、建设管理及房屋的分配销售、租赁、物业管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本着</w:t>
      </w:r>
      <w:r>
        <w:rPr>
          <w:rFonts w:hint="eastAsia" w:ascii="仿宋_GB2312" w:hAnsi="仿宋_GB2312" w:eastAsia="仿宋_GB2312" w:cs="仿宋_GB2312"/>
          <w:sz w:val="32"/>
          <w:szCs w:val="32"/>
        </w:rPr>
        <w:t>提质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增效</w:t>
      </w:r>
      <w:r>
        <w:rPr>
          <w:rFonts w:hint="eastAsia" w:ascii="仿宋_GB2312" w:hAnsi="仿宋_GB2312" w:eastAsia="仿宋_GB2312" w:cs="仿宋_GB2312"/>
          <w:sz w:val="32"/>
          <w:szCs w:val="32"/>
        </w:rPr>
        <w:t>、降本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降耗</w:t>
      </w:r>
      <w:r>
        <w:rPr>
          <w:rFonts w:hint="eastAsia" w:ascii="仿宋_GB2312" w:hAnsi="仿宋_GB2312" w:eastAsia="仿宋_GB2312" w:cs="仿宋_GB2312"/>
          <w:sz w:val="32"/>
          <w:szCs w:val="32"/>
        </w:rPr>
        <w:t>的工作思路，以目标为引领，以问题为导向，坚持防控疫情和生产经营“两不误”的原则，扎实推进生产经营各项工作，生产经营管理水平不继提升。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截止2021年12月底，本公司在册职工76人，资产总额422371.77万元。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二、主要会计数据和财务指标</w:t>
      </w:r>
    </w:p>
    <w:p>
      <w:pPr>
        <w:pStyle w:val="2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           财务状况基本数据</w:t>
      </w:r>
    </w:p>
    <w:p>
      <w:pPr>
        <w:pStyle w:val="2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 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 xml:space="preserve">              单位：万元</w:t>
      </w:r>
    </w:p>
    <w:tbl>
      <w:tblPr>
        <w:tblStyle w:val="9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pStyle w:val="2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项目</w:t>
            </w:r>
          </w:p>
        </w:tc>
        <w:tc>
          <w:tcPr>
            <w:tcW w:w="2130" w:type="dxa"/>
          </w:tcPr>
          <w:p>
            <w:pPr>
              <w:pStyle w:val="2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期末余额</w:t>
            </w:r>
          </w:p>
        </w:tc>
        <w:tc>
          <w:tcPr>
            <w:tcW w:w="2131" w:type="dxa"/>
          </w:tcPr>
          <w:p>
            <w:pPr>
              <w:pStyle w:val="2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项目</w:t>
            </w:r>
          </w:p>
        </w:tc>
        <w:tc>
          <w:tcPr>
            <w:tcW w:w="2131" w:type="dxa"/>
          </w:tcPr>
          <w:p>
            <w:pPr>
              <w:pStyle w:val="2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期末余额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pStyle w:val="2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资产总额</w:t>
            </w:r>
          </w:p>
        </w:tc>
        <w:tc>
          <w:tcPr>
            <w:tcW w:w="2130" w:type="dxa"/>
          </w:tcPr>
          <w:p>
            <w:pPr>
              <w:pStyle w:val="2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422371.77</w:t>
            </w:r>
          </w:p>
        </w:tc>
        <w:tc>
          <w:tcPr>
            <w:tcW w:w="2131" w:type="dxa"/>
          </w:tcPr>
          <w:p>
            <w:pPr>
              <w:pStyle w:val="2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负债总额</w:t>
            </w:r>
          </w:p>
        </w:tc>
        <w:tc>
          <w:tcPr>
            <w:tcW w:w="2131" w:type="dxa"/>
          </w:tcPr>
          <w:p>
            <w:pPr>
              <w:pStyle w:val="2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325219.94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pStyle w:val="2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所有者权益</w:t>
            </w:r>
          </w:p>
        </w:tc>
        <w:tc>
          <w:tcPr>
            <w:tcW w:w="2130" w:type="dxa"/>
          </w:tcPr>
          <w:p>
            <w:pPr>
              <w:pStyle w:val="2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97151.84</w:t>
            </w:r>
          </w:p>
        </w:tc>
        <w:tc>
          <w:tcPr>
            <w:tcW w:w="2131" w:type="dxa"/>
          </w:tcPr>
          <w:p>
            <w:pPr>
              <w:pStyle w:val="2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存货</w:t>
            </w:r>
          </w:p>
        </w:tc>
        <w:tc>
          <w:tcPr>
            <w:tcW w:w="2131" w:type="dxa"/>
          </w:tcPr>
          <w:p>
            <w:pPr>
              <w:pStyle w:val="2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344069.63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pStyle w:val="2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应收账款</w:t>
            </w:r>
          </w:p>
        </w:tc>
        <w:tc>
          <w:tcPr>
            <w:tcW w:w="2130" w:type="dxa"/>
          </w:tcPr>
          <w:p>
            <w:pPr>
              <w:pStyle w:val="2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2131" w:type="dxa"/>
          </w:tcPr>
          <w:p>
            <w:pPr>
              <w:pStyle w:val="2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应付账款</w:t>
            </w:r>
          </w:p>
        </w:tc>
        <w:tc>
          <w:tcPr>
            <w:tcW w:w="2131" w:type="dxa"/>
          </w:tcPr>
          <w:p>
            <w:pPr>
              <w:pStyle w:val="2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28833.22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pStyle w:val="2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固定资产净额</w:t>
            </w:r>
          </w:p>
        </w:tc>
        <w:tc>
          <w:tcPr>
            <w:tcW w:w="2130" w:type="dxa"/>
          </w:tcPr>
          <w:p>
            <w:pPr>
              <w:pStyle w:val="2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103.24</w:t>
            </w:r>
          </w:p>
        </w:tc>
        <w:tc>
          <w:tcPr>
            <w:tcW w:w="2131" w:type="dxa"/>
          </w:tcPr>
          <w:p>
            <w:pPr>
              <w:pStyle w:val="2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应交税费</w:t>
            </w:r>
          </w:p>
        </w:tc>
        <w:tc>
          <w:tcPr>
            <w:tcW w:w="2131" w:type="dxa"/>
          </w:tcPr>
          <w:p>
            <w:pPr>
              <w:pStyle w:val="2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54.28</w:t>
            </w:r>
          </w:p>
        </w:tc>
      </w:tr>
    </w:tbl>
    <w:p>
      <w:pPr>
        <w:pStyle w:val="2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</w:pP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经营成果基本数据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                  单位：万元</w:t>
      </w:r>
    </w:p>
    <w:tbl>
      <w:tblPr>
        <w:tblStyle w:val="9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项目</w:t>
            </w:r>
          </w:p>
        </w:tc>
        <w:tc>
          <w:tcPr>
            <w:tcW w:w="2130" w:type="dxa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本年累计</w:t>
            </w:r>
          </w:p>
        </w:tc>
        <w:tc>
          <w:tcPr>
            <w:tcW w:w="2131" w:type="dxa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项目</w:t>
            </w:r>
          </w:p>
        </w:tc>
        <w:tc>
          <w:tcPr>
            <w:tcW w:w="2131" w:type="dxa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本年累计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营业收入</w:t>
            </w:r>
          </w:p>
        </w:tc>
        <w:tc>
          <w:tcPr>
            <w:tcW w:w="2130" w:type="dxa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16901.26</w:t>
            </w:r>
          </w:p>
        </w:tc>
        <w:tc>
          <w:tcPr>
            <w:tcW w:w="2131" w:type="dxa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销售费用</w:t>
            </w:r>
          </w:p>
        </w:tc>
        <w:tc>
          <w:tcPr>
            <w:tcW w:w="2131" w:type="dxa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管理费用</w:t>
            </w:r>
          </w:p>
        </w:tc>
        <w:tc>
          <w:tcPr>
            <w:tcW w:w="2130" w:type="dxa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597.98</w:t>
            </w:r>
          </w:p>
        </w:tc>
        <w:tc>
          <w:tcPr>
            <w:tcW w:w="2131" w:type="dxa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财务费用</w:t>
            </w:r>
          </w:p>
        </w:tc>
        <w:tc>
          <w:tcPr>
            <w:tcW w:w="2131" w:type="dxa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-1007.06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利润总额</w:t>
            </w:r>
          </w:p>
        </w:tc>
        <w:tc>
          <w:tcPr>
            <w:tcW w:w="2130" w:type="dxa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-1754.39</w:t>
            </w:r>
          </w:p>
        </w:tc>
        <w:tc>
          <w:tcPr>
            <w:tcW w:w="2131" w:type="dxa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净利润</w:t>
            </w:r>
          </w:p>
        </w:tc>
        <w:tc>
          <w:tcPr>
            <w:tcW w:w="2131" w:type="dxa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-1753.78</w:t>
            </w:r>
          </w:p>
        </w:tc>
      </w:tr>
    </w:tbl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/>
          <w:lang w:val="en-US" w:eastAsia="zh-CN"/>
        </w:rPr>
      </w:pP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预算执行情况：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640" w:firstLineChars="200"/>
        <w:contextualSpacing/>
        <w:jc w:val="both"/>
        <w:textAlignment w:val="auto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2021年年底，根据集团公司财务处对</w:t>
      </w:r>
      <w:r>
        <w:rPr>
          <w:rFonts w:hint="eastAsia" w:ascii="仿宋_GB2312" w:hAnsi="宋体" w:eastAsia="仿宋_GB2312"/>
          <w:sz w:val="32"/>
          <w:szCs w:val="32"/>
        </w:rPr>
        <w:t>202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/>
          <w:sz w:val="32"/>
          <w:szCs w:val="32"/>
        </w:rPr>
        <w:t>年全年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利润指标的统筹规划及调整，我公司2021年利润总额-1754.39万元，完成利润指标。</w:t>
      </w:r>
    </w:p>
    <w:p>
      <w:pPr>
        <w:pStyle w:val="2"/>
        <w:numPr>
          <w:ilvl w:val="0"/>
          <w:numId w:val="1"/>
        </w:numPr>
        <w:ind w:firstLine="643" w:firstLineChars="200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-SA"/>
        </w:rPr>
        <w:t>报告期内重要事项</w:t>
      </w:r>
    </w:p>
    <w:p>
      <w:pPr>
        <w:pStyle w:val="2"/>
        <w:numPr>
          <w:ilvl w:val="0"/>
          <w:numId w:val="0"/>
        </w:numPr>
        <w:rPr>
          <w:rFonts w:hint="default" w:ascii="仿宋_GB2312" w:hAnsi="宋体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kern w:val="2"/>
          <w:sz w:val="32"/>
          <w:szCs w:val="32"/>
          <w:lang w:val="en-US" w:eastAsia="zh-CN" w:bidi="ar-SA"/>
        </w:rPr>
        <w:t xml:space="preserve">    2021年6月，法定代表人由石正云变更为李杰。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73D046C"/>
    <w:multiLevelType w:val="singleLevel"/>
    <w:tmpl w:val="C73D046C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yYTkyZThhZjk4ZDRkOGI2MTM0ZGFjZTYyNDAxOTMifQ=="/>
  </w:docVars>
  <w:rsids>
    <w:rsidRoot w:val="1C8A2057"/>
    <w:rsid w:val="005D4603"/>
    <w:rsid w:val="065918C7"/>
    <w:rsid w:val="0B892750"/>
    <w:rsid w:val="166C40A8"/>
    <w:rsid w:val="18025D64"/>
    <w:rsid w:val="18423F75"/>
    <w:rsid w:val="184432B4"/>
    <w:rsid w:val="18AF6EB7"/>
    <w:rsid w:val="1AD75A4B"/>
    <w:rsid w:val="1C8A2057"/>
    <w:rsid w:val="258D0FCF"/>
    <w:rsid w:val="342C1888"/>
    <w:rsid w:val="38CA0223"/>
    <w:rsid w:val="3B5B73B5"/>
    <w:rsid w:val="3DCE3E6E"/>
    <w:rsid w:val="421304E1"/>
    <w:rsid w:val="45965337"/>
    <w:rsid w:val="484A4A39"/>
    <w:rsid w:val="49D5673F"/>
    <w:rsid w:val="4C3F678C"/>
    <w:rsid w:val="56340725"/>
    <w:rsid w:val="5AD01174"/>
    <w:rsid w:val="5F876A6A"/>
    <w:rsid w:val="666E226A"/>
    <w:rsid w:val="679A4C3E"/>
    <w:rsid w:val="694330B3"/>
    <w:rsid w:val="69C75A92"/>
    <w:rsid w:val="71F15A28"/>
    <w:rsid w:val="754B1C87"/>
    <w:rsid w:val="7E3D3491"/>
    <w:rsid w:val="7EEB5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正文文本 + 宋体"/>
    <w:basedOn w:val="3"/>
    <w:qFormat/>
    <w:uiPriority w:val="0"/>
    <w:pPr>
      <w:spacing w:after="0"/>
    </w:pPr>
    <w:rPr>
      <w:rFonts w:ascii="宋体" w:hAnsi="宋体"/>
      <w:sz w:val="28"/>
    </w:rPr>
  </w:style>
  <w:style w:type="paragraph" w:styleId="3">
    <w:name w:val="Body Text"/>
    <w:basedOn w:val="1"/>
    <w:qFormat/>
    <w:uiPriority w:val="99"/>
    <w:pPr>
      <w:spacing w:after="120"/>
    </w:pPr>
  </w:style>
  <w:style w:type="paragraph" w:styleId="5">
    <w:name w:val="Normal Indent"/>
    <w:basedOn w:val="1"/>
    <w:qFormat/>
    <w:uiPriority w:val="0"/>
    <w:pPr>
      <w:snapToGrid w:val="0"/>
      <w:spacing w:line="400" w:lineRule="atLeast"/>
      <w:ind w:firstLine="420"/>
    </w:pPr>
    <w:rPr>
      <w:szCs w:val="20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689</Words>
  <Characters>857</Characters>
  <Lines>0</Lines>
  <Paragraphs>0</Paragraphs>
  <TotalTime>12</TotalTime>
  <ScaleCrop>false</ScaleCrop>
  <LinksUpToDate>false</LinksUpToDate>
  <CharactersWithSpaces>966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2022-01-27T01:38:00Z</dcterms:created>
  <dc:creator>Administrator</dc:creator>
  <cp:lastModifiedBy>JJL</cp:lastModifiedBy>
  <cp:lastPrinted>2022-01-27T02:50:00Z</cp:lastPrinted>
  <dcterms:modified xsi:type="dcterms:W3CDTF">2022-07-07T09:41:06Z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5DFFE8A0562B4104A7BFAA0238FF428E</vt:lpwstr>
  </property>
</Properties>
</file>