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山西隆森物资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有限公司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2022年度财务重大信息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企业基本情况</w:t>
      </w:r>
    </w:p>
    <w:p>
      <w:pPr>
        <w:spacing w:line="540" w:lineRule="exact"/>
        <w:ind w:firstLine="562" w:firstLineChars="200"/>
        <w:outlineLvl w:val="1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（一）基本信息</w:t>
      </w:r>
    </w:p>
    <w:p>
      <w:pPr>
        <w:spacing w:line="54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企业名称：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>山西隆森物资有限公司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统一社会信用代码：91140100588533608F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类    型：有限责任公司（非自然人投资或控股的法人独资）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住    所：太原市小店区平阳路186号飞云现代城3单元1号8001室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法定代表人：燕涛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注册资本：500万元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成立日期：2012年1月16日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营业期限：2012年1月16日至2032年1月12日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经营范围：硫酸、盐酸、甲苯、次氯酸钠溶液[含有效氯＞5%]、氢氧化钠、氢氧化钠溶液、硝酸、过氧化氢[20%≤含量≤60%]、苯、煤焦油、煤焦沥青（以上无储存）的批发;预包装食品、散装食品、铁矿粉、工矿机电设备及配件、工程机械设备及配件、汽车（不含小轿车）、钢材、建材、木材、五金交电、电线电缆、仪器仪表、水泥制品、橡胶制品、办公用品及设施、劳动防护用品、水暖器材、日用杂品、消防器材、化工产品（危化除外）、高低压电气成套设备及配件、计算机软硬件及网络系统及配件、电解铜、有色金属（不含贵稀金属）的销售；仓储服务；工程机械设备租赁。（依法须经批准的项目，经相关部门批准后方可开展经营活动）</w:t>
      </w:r>
    </w:p>
    <w:p>
      <w:pPr>
        <w:spacing w:line="54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股东及股权比例：山西煤炭运销集团太原有限公司</w:t>
      </w:r>
      <w:r>
        <w:rPr>
          <w:rFonts w:hint="default" w:ascii="仿宋_GB2312" w:hAnsi="仿宋_GB2312" w:eastAsia="仿宋_GB2312" w:cs="仿宋_GB2312"/>
          <w:sz w:val="28"/>
          <w:szCs w:val="28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100%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登记状态：存续（在营、开业、在册）</w:t>
      </w:r>
    </w:p>
    <w:p>
      <w:pPr>
        <w:spacing w:line="54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登记机关：太原市市场监督管理局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2" w:firstLineChars="200"/>
        <w:textAlignment w:val="auto"/>
        <w:outlineLvl w:val="1"/>
        <w:rPr>
          <w:rFonts w:hint="default" w:ascii="仿宋_GB2312" w:hAnsi="宋体" w:eastAsia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二</w:t>
      </w:r>
      <w:r>
        <w:rPr>
          <w:rFonts w:hint="eastAsia" w:ascii="仿宋_GB2312" w:hAnsi="宋体" w:eastAsia="仿宋_GB2312"/>
          <w:b/>
          <w:sz w:val="28"/>
          <w:szCs w:val="28"/>
        </w:rPr>
        <w:t>）</w:t>
      </w:r>
      <w:r>
        <w:rPr>
          <w:rFonts w:hint="eastAsia" w:ascii="仿宋_GB2312" w:hAnsi="宋体" w:eastAsia="仿宋_GB2312"/>
          <w:b/>
          <w:sz w:val="28"/>
          <w:szCs w:val="28"/>
          <w:lang w:val="en-US" w:eastAsia="zh-CN"/>
        </w:rPr>
        <w:t>历史沿革</w:t>
      </w:r>
    </w:p>
    <w:p>
      <w:pPr>
        <w:spacing w:line="540" w:lineRule="exact"/>
        <w:ind w:firstLine="565" w:firstLineChars="202"/>
        <w:rPr>
          <w:rFonts w:hint="default" w:ascii="仿宋_GB2312" w:hAnsi="宋体" w:eastAsia="仿宋_GB2312"/>
          <w:sz w:val="28"/>
          <w:szCs w:val="28"/>
          <w:lang w:eastAsia="zh-Hans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2012年1月16日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，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隆森物资公司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在太原市工商局登记设立，成立初衷主要为太原公司系统内机关各部室、各全资控股项目公司及下属11座煤矿提供工矿物资类、后勤物资类供应及优质的售后服务。主要以“服务内部各单位”、“立足开拓市场外业务”为宗旨，做好以物资贸易为核心的转型发展，实现集中采购、降低成本、统一管理。</w:t>
      </w:r>
      <w:r>
        <w:rPr>
          <w:rFonts w:hint="eastAsia" w:ascii="仿宋_GB2312" w:hAnsi="宋体" w:eastAsia="仿宋_GB2312"/>
          <w:sz w:val="28"/>
          <w:szCs w:val="28"/>
          <w:lang w:val="en-US" w:eastAsia="zh-Hans"/>
        </w:rPr>
        <w:t>设立时股东山西煤炭运销集团太原有限公司实缴出资</w:t>
      </w:r>
      <w:r>
        <w:rPr>
          <w:rFonts w:hint="default" w:ascii="仿宋_GB2312" w:hAnsi="宋体" w:eastAsia="仿宋_GB2312"/>
          <w:sz w:val="28"/>
          <w:szCs w:val="28"/>
          <w:lang w:eastAsia="zh-Hans"/>
        </w:rPr>
        <w:t>500</w:t>
      </w:r>
      <w:r>
        <w:rPr>
          <w:rFonts w:hint="eastAsia" w:ascii="仿宋_GB2312" w:hAnsi="宋体" w:eastAsia="仿宋_GB2312"/>
          <w:sz w:val="28"/>
          <w:szCs w:val="28"/>
          <w:lang w:val="en-US" w:eastAsia="zh-Hans"/>
        </w:rPr>
        <w:t>万元</w:t>
      </w:r>
      <w:r>
        <w:rPr>
          <w:rFonts w:hint="default" w:ascii="仿宋_GB2312" w:hAnsi="宋体" w:eastAsia="仿宋_GB2312"/>
          <w:sz w:val="28"/>
          <w:szCs w:val="28"/>
          <w:lang w:eastAsia="zh-Hans"/>
        </w:rPr>
        <w:t>，</w:t>
      </w:r>
      <w:r>
        <w:rPr>
          <w:rFonts w:hint="eastAsia" w:ascii="仿宋_GB2312" w:hAnsi="宋体" w:eastAsia="仿宋_GB2312"/>
          <w:sz w:val="28"/>
          <w:szCs w:val="28"/>
          <w:lang w:val="en-US" w:eastAsia="zh-Hans"/>
        </w:rPr>
        <w:t>设立时法定代表人为白俊义</w:t>
      </w:r>
      <w:r>
        <w:rPr>
          <w:rFonts w:hint="default" w:ascii="仿宋_GB2312" w:hAnsi="宋体" w:eastAsia="仿宋_GB2312"/>
          <w:sz w:val="28"/>
          <w:szCs w:val="28"/>
          <w:lang w:eastAsia="zh-Hans"/>
        </w:rPr>
        <w:t>，2015</w:t>
      </w:r>
      <w:r>
        <w:rPr>
          <w:rFonts w:hint="eastAsia" w:ascii="仿宋_GB2312" w:hAnsi="宋体" w:eastAsia="仿宋_GB2312"/>
          <w:sz w:val="28"/>
          <w:szCs w:val="28"/>
          <w:lang w:val="en-US" w:eastAsia="zh-Hans"/>
        </w:rPr>
        <w:t>年</w:t>
      </w:r>
      <w:r>
        <w:rPr>
          <w:rFonts w:hint="default" w:ascii="仿宋_GB2312" w:hAnsi="宋体" w:eastAsia="仿宋_GB2312"/>
          <w:sz w:val="28"/>
          <w:szCs w:val="28"/>
          <w:lang w:eastAsia="zh-Hans"/>
        </w:rPr>
        <w:t>12</w:t>
      </w:r>
      <w:r>
        <w:rPr>
          <w:rFonts w:hint="eastAsia" w:ascii="仿宋_GB2312" w:hAnsi="宋体" w:eastAsia="仿宋_GB2312"/>
          <w:sz w:val="28"/>
          <w:szCs w:val="28"/>
          <w:lang w:val="en-US" w:eastAsia="zh-Hans"/>
        </w:rPr>
        <w:t>月</w:t>
      </w:r>
      <w:r>
        <w:rPr>
          <w:rFonts w:hint="default" w:ascii="仿宋_GB2312" w:hAnsi="宋体" w:eastAsia="仿宋_GB2312"/>
          <w:sz w:val="28"/>
          <w:szCs w:val="28"/>
          <w:lang w:eastAsia="zh-Hans"/>
        </w:rPr>
        <w:t>23</w:t>
      </w:r>
      <w:r>
        <w:rPr>
          <w:rFonts w:hint="eastAsia" w:ascii="仿宋_GB2312" w:hAnsi="宋体" w:eastAsia="仿宋_GB2312"/>
          <w:sz w:val="28"/>
          <w:szCs w:val="28"/>
          <w:lang w:val="en-US" w:eastAsia="zh-Hans"/>
        </w:rPr>
        <w:t>日法定代表人变更为燕涛</w:t>
      </w:r>
      <w:r>
        <w:rPr>
          <w:rFonts w:hint="default" w:ascii="仿宋_GB2312" w:hAnsi="宋体" w:eastAsia="仿宋_GB2312"/>
          <w:sz w:val="28"/>
          <w:szCs w:val="28"/>
          <w:lang w:eastAsia="zh-Hans"/>
        </w:rPr>
        <w:t>。</w:t>
      </w:r>
    </w:p>
    <w:p>
      <w:pPr>
        <w:ind w:firstLine="620" w:firstLineChars="200"/>
        <w:jc w:val="left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二、公司治理及管理架构、重要人事变动、企业负责人薪酬水平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1、公司现设立5个部门，分别是党务工作部、综合管理部、财务管理部、业务服务部和储销运营部。</w:t>
      </w:r>
    </w:p>
    <w:p>
      <w:pPr>
        <w:pStyle w:val="2"/>
        <w:pageBreakBefore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Chars="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2、无重要人事变动。</w:t>
      </w:r>
    </w:p>
    <w:p>
      <w:pPr>
        <w:pStyle w:val="2"/>
        <w:pageBreakBefore w:val="0"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Chars="0"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3、2022年企业负责人薪酬：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840" w:firstLineChars="300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燕涛：12.90万元，武卫国：12.99万元。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三、企业主要财务状况和经营成果、国有资本保值增值情况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（一）财务状况基本数据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资产期末余额 4220.32万元，负债期末余额 4515.84万元，所有者权益期末余额295.52万元，固定资产净值期末余额6.6万元。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（二）经营成果基本数据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2022年，实现营业收入 0万元，利润总额-521.95万元。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（三）国有资本保值增值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2022年国有资本保值增值率-130.5%。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四、企业主要产品产量完成情况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煤炭产业：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电力：无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产品：无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其他：无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五、企业重大改制重组结果（无)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六、通过产权市场转让企业产权和企业增资等信息。(无）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七、有关部门依法要求公开的监督检查问题整改情况、重大突发事项事态发展和应急处置情况。（无）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八、企业履行社会责任情况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（一）环境责任：不涉及。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（二）企业责任：按时按要求发放职工取暖费、女工卫生费等。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0" w:firstLineChars="200"/>
        <w:jc w:val="left"/>
        <w:textAlignment w:val="auto"/>
        <w:rPr>
          <w:rFonts w:hint="default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九、其他（无）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footnotePr>
        <w:numFmt w:val="decimal"/>
      </w:footnotePr>
      <w:pgSz w:w="11850" w:h="16783"/>
      <w:pgMar w:top="1440" w:right="1800" w:bottom="1440" w:left="1800" w:header="1924" w:footer="1621" w:gutter="0"/>
      <w:cols w:space="0" w:num="1"/>
      <w:rtlGutter w:val="0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96F543"/>
    <w:multiLevelType w:val="singleLevel"/>
    <w:tmpl w:val="A096F5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A32B4E"/>
    <w:multiLevelType w:val="multilevel"/>
    <w:tmpl w:val="D7A32B4E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 w:eastAsia="黑体"/>
        <w:sz w:val="28"/>
      </w:rPr>
    </w:lvl>
    <w:lvl w:ilvl="1" w:tentative="0">
      <w:start w:val="1"/>
      <w:numFmt w:val="decimal"/>
      <w:pStyle w:val="2"/>
      <w:lvlText w:val="%1.%2."/>
      <w:lvlJc w:val="left"/>
      <w:pPr>
        <w:ind w:left="575" w:hanging="575"/>
      </w:pPr>
      <w:rPr>
        <w:rFonts w:hint="default" w:ascii="宋体" w:hAnsi="宋体" w:eastAsia="黑体" w:cs="宋体"/>
        <w:sz w:val="28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 w:ascii="宋体" w:hAnsi="宋体" w:eastAsia="黑体" w:cs="宋体"/>
        <w:sz w:val="28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 w:ascii="宋体" w:hAnsi="宋体" w:eastAsia="黑体" w:cs="宋体"/>
        <w:sz w:val="28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 w:ascii="宋体" w:hAnsi="宋体" w:eastAsia="黑体" w:cs="宋体"/>
        <w:sz w:val="28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xNGJmNzc0YWZhNmEwNzQ4MmE3NDJkNzVhYmYyYTIifQ=="/>
  </w:docVars>
  <w:rsids>
    <w:rsidRoot w:val="6F041EC0"/>
    <w:rsid w:val="001340FC"/>
    <w:rsid w:val="016320D9"/>
    <w:rsid w:val="022D0A59"/>
    <w:rsid w:val="02865046"/>
    <w:rsid w:val="0AD6633F"/>
    <w:rsid w:val="0BE21212"/>
    <w:rsid w:val="100B0B70"/>
    <w:rsid w:val="12FE156B"/>
    <w:rsid w:val="14B135F0"/>
    <w:rsid w:val="16AE1553"/>
    <w:rsid w:val="19EC305D"/>
    <w:rsid w:val="26414D56"/>
    <w:rsid w:val="29414BE5"/>
    <w:rsid w:val="2A637EA4"/>
    <w:rsid w:val="2EFF6764"/>
    <w:rsid w:val="2F26736B"/>
    <w:rsid w:val="39F7070C"/>
    <w:rsid w:val="3D582CC8"/>
    <w:rsid w:val="3F4D1A7B"/>
    <w:rsid w:val="421372D6"/>
    <w:rsid w:val="42AA54C6"/>
    <w:rsid w:val="43AB48AD"/>
    <w:rsid w:val="448B6748"/>
    <w:rsid w:val="448F3BA9"/>
    <w:rsid w:val="46B57E27"/>
    <w:rsid w:val="4C662012"/>
    <w:rsid w:val="4E1D20FF"/>
    <w:rsid w:val="4F8E53F2"/>
    <w:rsid w:val="50A153DF"/>
    <w:rsid w:val="52E7446A"/>
    <w:rsid w:val="57D70A4D"/>
    <w:rsid w:val="59080CD2"/>
    <w:rsid w:val="5B6548BC"/>
    <w:rsid w:val="5EAB3BC0"/>
    <w:rsid w:val="64CC6F02"/>
    <w:rsid w:val="6D7555C3"/>
    <w:rsid w:val="6F041EC0"/>
    <w:rsid w:val="73DC6C46"/>
    <w:rsid w:val="7AEE6A38"/>
    <w:rsid w:val="7C68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575" w:hanging="575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1130</Words>
  <Characters>1240</Characters>
  <Lines>0</Lines>
  <Paragraphs>0</Paragraphs>
  <TotalTime>24</TotalTime>
  <ScaleCrop>false</ScaleCrop>
  <LinksUpToDate>false</LinksUpToDate>
  <CharactersWithSpaces>1256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2022-01-27T01:32:00Z</dcterms:created>
  <dc:creator>穆凯</dc:creator>
  <cp:lastModifiedBy>晝無訫</cp:lastModifiedBy>
  <cp:lastPrinted>2022-01-27T08:24:00Z</cp:lastPrinted>
  <dcterms:modified xsi:type="dcterms:W3CDTF">2023-05-30T00:38:38Z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AAB031F1C68D47149CEDC54FE00727D2_13</vt:lpwstr>
  </property>
</Properties>
</file>